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030E138" w:rsidR="001A53D6" w:rsidRPr="00C66E4D" w:rsidRDefault="00986AFD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>JCRTO-2918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7E5BA722" w:rsidR="003069E0" w:rsidRPr="00C66E4D" w:rsidRDefault="00986AFD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>Zhong</w:t>
            </w:r>
            <w:proofErr w:type="spellEnd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>fei</w:t>
            </w:r>
            <w:proofErr w:type="spellEnd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986AFD">
              <w:rPr>
                <w:rFonts w:ascii="Times New Roman" w:hAnsi="Times New Roman" w:cs="Times New Roman"/>
                <w:b/>
                <w:color w:val="000000" w:themeColor="text1"/>
              </w:rPr>
              <w:t>Jia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078B4CDA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986AFD" w:rsidRPr="00986A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Radiotherapy for </w:t>
            </w:r>
            <w:proofErr w:type="spellStart"/>
            <w:r w:rsidR="00986AFD" w:rsidRPr="00986A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esophageal</w:t>
            </w:r>
            <w:proofErr w:type="spellEnd"/>
            <w:r w:rsidR="00986AFD" w:rsidRPr="00986A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squamous cell carcinoma concomitant with </w:t>
            </w:r>
            <w:proofErr w:type="spellStart"/>
            <w:r w:rsidR="00986AFD" w:rsidRPr="00986A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hypofibrinogenemia</w:t>
            </w:r>
            <w:proofErr w:type="spellEnd"/>
            <w:r w:rsidR="00986AFD" w:rsidRPr="00986A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 a case report</w:t>
            </w:r>
          </w:p>
          <w:p w14:paraId="6DAFADD3" w14:textId="1027529A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86AFD" w:rsidRPr="00986AFD">
              <w:rPr>
                <w:rFonts w:ascii="Times New Roman" w:hAnsi="Times New Roman" w:cs="Times New Roman"/>
                <w:color w:val="000000" w:themeColor="text1"/>
              </w:rPr>
              <w:t xml:space="preserve">This case report is a valuable contribution to the literature on ESCC and </w:t>
            </w:r>
            <w:proofErr w:type="spellStart"/>
            <w:r w:rsidR="00986AFD" w:rsidRPr="00986AFD">
              <w:rPr>
                <w:rFonts w:ascii="Times New Roman" w:hAnsi="Times New Roman" w:cs="Times New Roman"/>
                <w:color w:val="000000" w:themeColor="text1"/>
              </w:rPr>
              <w:t>hypofibrinogenemia</w:t>
            </w:r>
            <w:proofErr w:type="spellEnd"/>
            <w:r w:rsidR="00986AFD" w:rsidRPr="00986AFD">
              <w:rPr>
                <w:rFonts w:ascii="Times New Roman" w:hAnsi="Times New Roman" w:cs="Times New Roman"/>
                <w:color w:val="000000" w:themeColor="text1"/>
              </w:rPr>
              <w:t xml:space="preserve">. By addressing the above suggestions, the manuscript will be </w:t>
            </w:r>
            <w:proofErr w:type="gramStart"/>
            <w:r w:rsidR="00986AFD" w:rsidRPr="00986AFD">
              <w:rPr>
                <w:rFonts w:ascii="Times New Roman" w:hAnsi="Times New Roman" w:cs="Times New Roman"/>
                <w:color w:val="000000" w:themeColor="text1"/>
              </w:rPr>
              <w:t>clear,</w:t>
            </w:r>
            <w:proofErr w:type="gramEnd"/>
            <w:r w:rsidR="00986AFD" w:rsidRPr="00986AFD">
              <w:rPr>
                <w:rFonts w:ascii="Times New Roman" w:hAnsi="Times New Roman" w:cs="Times New Roman"/>
                <w:color w:val="000000" w:themeColor="text1"/>
              </w:rPr>
              <w:t xml:space="preserve"> and impactful for clinical readers and researchers.</w:t>
            </w:r>
          </w:p>
          <w:p w14:paraId="4F98A49A" w14:textId="3A636783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case report addresses an unusual combination of ESCC with </w:t>
            </w:r>
            <w:proofErr w:type="spell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hypofibrinogenemia</w:t>
            </w:r>
            <w:proofErr w:type="spell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which </w:t>
            </w:r>
            <w:proofErr w:type="gram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rarely reported</w:t>
            </w:r>
            <w:proofErr w:type="gram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the literature.</w:t>
            </w:r>
          </w:p>
          <w:p w14:paraId="1286ED07" w14:textId="11FD0642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patient’s clinical presentation, diagnostic workup, treatment, and follow-up </w:t>
            </w:r>
            <w:proofErr w:type="gram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comprehensively described</w:t>
            </w:r>
            <w:proofErr w:type="gram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2DEF8CCD" w14:textId="544963E5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Article highlights the importance of considering </w:t>
            </w:r>
            <w:proofErr w:type="spell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paraneoplastic</w:t>
            </w:r>
            <w:proofErr w:type="spell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syndromes in cancer patients with unusual laboratory findings.</w:t>
            </w:r>
          </w:p>
          <w:p w14:paraId="1E8A281A" w14:textId="063E7F4D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and discussion could benefit from a more comprehensive review of the literature, including </w:t>
            </w:r>
            <w:proofErr w:type="gram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recent studies</w:t>
            </w:r>
            <w:proofErr w:type="gram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a broader context of </w:t>
            </w:r>
            <w:proofErr w:type="spell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hypofibrinogenemia</w:t>
            </w:r>
            <w:proofErr w:type="spell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cancer.</w:t>
            </w:r>
          </w:p>
          <w:p w14:paraId="26A65895" w14:textId="7E327055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lacks detailed mechanistic insights into how ESCC might lead to </w:t>
            </w:r>
            <w:proofErr w:type="spell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hypofibrinogenemia</w:t>
            </w:r>
            <w:proofErr w:type="spell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More emphasis on potential biological mechanisms would strengthen the manuscript.</w:t>
            </w:r>
          </w:p>
          <w:p w14:paraId="700C7BD7" w14:textId="68EF7791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report mentions the follow-up during the COVID-19 pandemic, which appears disjointed. This section </w:t>
            </w:r>
            <w:proofErr w:type="gram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more cohesively integrated</w:t>
            </w:r>
            <w:proofErr w:type="gram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into the follow-up narrative.</w:t>
            </w:r>
          </w:p>
          <w:p w14:paraId="45CAE671" w14:textId="30BD570F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limitations of the case report, such as the inability </w:t>
            </w:r>
            <w:proofErr w:type="gram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definitively determine</w:t>
            </w:r>
            <w:proofErr w:type="gram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cause of </w:t>
            </w:r>
            <w:proofErr w:type="spellStart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hypofibrinogenemia</w:t>
            </w:r>
            <w:proofErr w:type="spellEnd"/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6AC1AF7E" w14:textId="3E0BAF87" w:rsidR="00986AFD" w:rsidRPr="00986AFD" w:rsidRDefault="00986AFD" w:rsidP="00986AF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86AF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Figures depicting fibrinogen levels and thrombin time normalization provide clear visual support to the text.</w:t>
            </w:r>
          </w:p>
          <w:p w14:paraId="387941E6" w14:textId="0047FC2C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FCA1B" w14:textId="77777777" w:rsidR="00D07BE9" w:rsidRDefault="00D07BE9" w:rsidP="00F65AB0">
      <w:pPr>
        <w:spacing w:after="0" w:line="240" w:lineRule="auto"/>
      </w:pPr>
      <w:r>
        <w:separator/>
      </w:r>
    </w:p>
  </w:endnote>
  <w:endnote w:type="continuationSeparator" w:id="0">
    <w:p w14:paraId="265AE06A" w14:textId="77777777" w:rsidR="00D07BE9" w:rsidRDefault="00D07BE9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F00B2" w14:textId="77777777" w:rsidR="00D07BE9" w:rsidRDefault="00D07BE9" w:rsidP="00F65AB0">
      <w:pPr>
        <w:spacing w:after="0" w:line="240" w:lineRule="auto"/>
      </w:pPr>
      <w:r>
        <w:separator/>
      </w:r>
    </w:p>
  </w:footnote>
  <w:footnote w:type="continuationSeparator" w:id="0">
    <w:p w14:paraId="03660577" w14:textId="77777777" w:rsidR="00D07BE9" w:rsidRDefault="00D07BE9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3"/>
  </w:num>
  <w:num w:numId="8">
    <w:abstractNumId w:val="3"/>
  </w:num>
  <w:num w:numId="9">
    <w:abstractNumId w:val="10"/>
  </w:num>
  <w:num w:numId="10">
    <w:abstractNumId w:val="14"/>
  </w:num>
  <w:num w:numId="11">
    <w:abstractNumId w:val="15"/>
  </w:num>
  <w:num w:numId="12">
    <w:abstractNumId w:val="4"/>
  </w:num>
  <w:num w:numId="13">
    <w:abstractNumId w:val="11"/>
  </w:num>
  <w:num w:numId="14">
    <w:abstractNumId w:val="2"/>
  </w:num>
  <w:num w:numId="15">
    <w:abstractNumId w:val="7"/>
  </w:num>
  <w:num w:numId="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07BE9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4018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CAE4F-6FF3-46CC-B749-1C220E51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2024-06-26T09:24:00Z</dcterms:created>
  <dcterms:modified xsi:type="dcterms:W3CDTF">2024-06-26T09:24:00Z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